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CC10A6" w:rsidP="003560E2">
            <w:pPr>
              <w:spacing w:before="40"/>
              <w:rPr>
                <w:rFonts w:ascii="Arial" w:hAnsi="Arial" w:cs="Arial"/>
                <w:sz w:val="16"/>
                <w:szCs w:val="16"/>
              </w:rPr>
            </w:pPr>
            <w:r>
              <w:rPr>
                <w:rFonts w:ascii="Arial" w:hAnsi="Arial" w:cs="Arial"/>
                <w:color w:val="0000FF"/>
                <w:sz w:val="16"/>
                <w:szCs w:val="16"/>
              </w:rPr>
              <w:t>43001-368/2020</w:t>
            </w:r>
            <w:r w:rsidR="006C45CF">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CC10A6" w:rsidP="003560E2">
            <w:pPr>
              <w:spacing w:before="40"/>
              <w:rPr>
                <w:rFonts w:ascii="Arial" w:hAnsi="Arial" w:cs="Arial"/>
                <w:sz w:val="16"/>
                <w:szCs w:val="16"/>
              </w:rPr>
            </w:pPr>
            <w:r>
              <w:rPr>
                <w:rFonts w:ascii="Arial" w:hAnsi="Arial" w:cs="Arial"/>
                <w:color w:val="0000FF"/>
                <w:sz w:val="16"/>
                <w:szCs w:val="16"/>
              </w:rPr>
              <w:t>D-122/20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CC10A6" w:rsidP="003560E2">
            <w:pPr>
              <w:spacing w:before="40"/>
              <w:rPr>
                <w:rFonts w:ascii="Arial" w:hAnsi="Arial" w:cs="Arial"/>
                <w:sz w:val="16"/>
                <w:szCs w:val="16"/>
              </w:rPr>
            </w:pPr>
            <w:r>
              <w:rPr>
                <w:rFonts w:ascii="Arial" w:hAnsi="Arial" w:cs="Arial"/>
                <w:color w:val="0000FF"/>
                <w:sz w:val="16"/>
                <w:szCs w:val="16"/>
              </w:rPr>
              <w:t>24.11.2020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CC10A6" w:rsidP="003560E2">
            <w:pPr>
              <w:spacing w:before="40"/>
              <w:rPr>
                <w:rFonts w:ascii="Arial" w:hAnsi="Arial" w:cs="Arial"/>
                <w:sz w:val="16"/>
                <w:szCs w:val="16"/>
              </w:rPr>
            </w:pPr>
            <w:r>
              <w:rPr>
                <w:rFonts w:ascii="Arial" w:hAnsi="Arial" w:cs="Arial"/>
                <w:color w:val="0000FF"/>
                <w:sz w:val="16"/>
                <w:szCs w:val="16"/>
              </w:rPr>
              <w:t>2431-20-001316/0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CC10A6" w:rsidP="003560E2">
            <w:pPr>
              <w:pStyle w:val="EndnoteText"/>
              <w:jc w:val="center"/>
              <w:rPr>
                <w:rFonts w:ascii="Times New Roman" w:hAnsi="Times New Roman"/>
                <w:b/>
                <w:sz w:val="22"/>
              </w:rPr>
            </w:pPr>
            <w:r>
              <w:rPr>
                <w:rFonts w:ascii="Times New Roman" w:hAnsi="Times New Roman"/>
                <w:b/>
                <w:sz w:val="22"/>
              </w:rPr>
              <w:t>Ureditev kolesarske povezave ob državni cesti R1-229/1286 Rogoznica - Senarska od km 13,420 do km 14,630, med naselji Biš in Gočova</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6C45CF" w:rsidRPr="006C45CF" w:rsidRDefault="006C45CF" w:rsidP="006C45CF">
      <w:pPr>
        <w:pStyle w:val="BodyText2"/>
        <w:widowControl w:val="0"/>
        <w:spacing w:line="254" w:lineRule="atLeast"/>
        <w:jc w:val="left"/>
        <w:rPr>
          <w:rFonts w:ascii="Tahoma" w:hAnsi="Tahoma" w:cs="Tahoma"/>
          <w:b/>
          <w:color w:val="333333"/>
          <w:sz w:val="22"/>
          <w:szCs w:val="22"/>
        </w:rPr>
      </w:pPr>
      <w:r w:rsidRPr="006C45CF">
        <w:rPr>
          <w:rFonts w:ascii="Tahoma" w:hAnsi="Tahoma" w:cs="Tahoma"/>
          <w:b/>
          <w:color w:val="333333"/>
          <w:sz w:val="22"/>
          <w:szCs w:val="22"/>
        </w:rPr>
        <w:t>JN007134/2020-W01 - D-122/20; Ureditev kolesarske povezave ob državni cesti R1-229/1286 Rogoznica - Senarska od km 13,420 do km 14,630, med naselji Biš in Gočova, datum objave: 16.11.2020</w:t>
      </w:r>
    </w:p>
    <w:p w:rsidR="006C45CF" w:rsidRPr="006C45CF" w:rsidRDefault="006C45CF" w:rsidP="006C45CF">
      <w:pPr>
        <w:pBdr>
          <w:bottom w:val="single" w:sz="6" w:space="8" w:color="DDDDDD"/>
        </w:pBdr>
        <w:shd w:val="clear" w:color="auto" w:fill="FFFFFF"/>
        <w:outlineLvl w:val="4"/>
        <w:rPr>
          <w:rFonts w:ascii="Tahoma" w:hAnsi="Tahoma" w:cs="Tahoma"/>
          <w:b/>
          <w:bCs/>
          <w:color w:val="333333"/>
          <w:sz w:val="22"/>
          <w:szCs w:val="22"/>
          <w:lang w:eastAsia="sl-SI"/>
        </w:rPr>
      </w:pPr>
      <w:r w:rsidRPr="006C45CF">
        <w:rPr>
          <w:rFonts w:ascii="Tahoma" w:hAnsi="Tahoma" w:cs="Tahoma"/>
          <w:b/>
          <w:bCs/>
          <w:color w:val="333333"/>
          <w:sz w:val="22"/>
          <w:szCs w:val="22"/>
          <w:lang w:eastAsia="sl-SI"/>
        </w:rPr>
        <w:t xml:space="preserve">Datum prejema: 24.11.2020   10:17 </w:t>
      </w:r>
    </w:p>
    <w:p w:rsidR="006C45CF" w:rsidRPr="006C45CF" w:rsidRDefault="006C45CF" w:rsidP="006C45CF">
      <w:pPr>
        <w:pStyle w:val="BodyText2"/>
        <w:widowControl w:val="0"/>
        <w:spacing w:line="254" w:lineRule="atLeast"/>
        <w:jc w:val="left"/>
        <w:rPr>
          <w:rFonts w:ascii="Tahoma" w:hAnsi="Tahoma" w:cs="Tahoma"/>
          <w:b/>
          <w:sz w:val="22"/>
          <w:szCs w:val="22"/>
        </w:rPr>
      </w:pPr>
    </w:p>
    <w:p w:rsidR="006C45CF" w:rsidRPr="006C45CF" w:rsidRDefault="006C45CF" w:rsidP="006C45CF">
      <w:pPr>
        <w:pStyle w:val="BodyText2"/>
        <w:widowControl w:val="0"/>
        <w:spacing w:line="254" w:lineRule="atLeast"/>
        <w:jc w:val="left"/>
        <w:rPr>
          <w:rFonts w:ascii="Tahoma" w:hAnsi="Tahoma" w:cs="Tahoma"/>
          <w:b/>
          <w:sz w:val="22"/>
          <w:szCs w:val="22"/>
        </w:rPr>
      </w:pPr>
    </w:p>
    <w:p w:rsidR="006C45CF" w:rsidRPr="006C45CF" w:rsidRDefault="006C45CF" w:rsidP="006C45CF">
      <w:pPr>
        <w:pStyle w:val="BodyText2"/>
        <w:widowControl w:val="0"/>
        <w:spacing w:line="254" w:lineRule="atLeast"/>
        <w:jc w:val="left"/>
        <w:rPr>
          <w:rFonts w:ascii="Tahoma" w:hAnsi="Tahoma" w:cs="Tahoma"/>
          <w:sz w:val="22"/>
          <w:szCs w:val="22"/>
        </w:rPr>
      </w:pPr>
      <w:r w:rsidRPr="006C45CF">
        <w:rPr>
          <w:rFonts w:ascii="Tahoma" w:hAnsi="Tahoma" w:cs="Tahoma"/>
          <w:color w:val="333333"/>
          <w:sz w:val="22"/>
          <w:szCs w:val="22"/>
        </w:rPr>
        <w:t>Spoštovani!</w:t>
      </w:r>
      <w:r w:rsidRPr="006C45CF">
        <w:rPr>
          <w:rFonts w:ascii="Tahoma" w:hAnsi="Tahoma" w:cs="Tahoma"/>
          <w:color w:val="333333"/>
          <w:sz w:val="22"/>
          <w:szCs w:val="22"/>
        </w:rPr>
        <w:br/>
        <w:t>V postavki 7.2.11. imate navedeno: "Izdelava DRSI tabele izvedenih kazalnikov". Kaj je pod to postavko mišljeno?</w:t>
      </w:r>
    </w:p>
    <w:p w:rsidR="00E813F4" w:rsidRPr="006C45CF" w:rsidRDefault="00E813F4" w:rsidP="006C45CF">
      <w:pPr>
        <w:widowControl w:val="0"/>
        <w:spacing w:before="60" w:line="254" w:lineRule="atLeast"/>
        <w:ind w:left="357"/>
        <w:rPr>
          <w:rFonts w:ascii="Tahoma" w:hAnsi="Tahoma" w:cs="Tahoma"/>
          <w:sz w:val="22"/>
          <w:szCs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F46BFA" w:rsidRDefault="00F46BFA" w:rsidP="00F46BFA">
      <w:pPr>
        <w:pStyle w:val="BodyText2"/>
        <w:ind w:left="360"/>
        <w:rPr>
          <w:rFonts w:cs="Arial"/>
          <w:sz w:val="22"/>
        </w:rPr>
      </w:pPr>
      <w:r w:rsidRPr="008A62EF">
        <w:rPr>
          <w:rFonts w:cs="Arial"/>
          <w:sz w:val="22"/>
        </w:rPr>
        <w:t>Spoštovani</w:t>
      </w:r>
      <w:r>
        <w:rPr>
          <w:rFonts w:cs="Arial"/>
          <w:sz w:val="22"/>
        </w:rPr>
        <w:t>.</w:t>
      </w:r>
    </w:p>
    <w:p w:rsidR="00F46BFA" w:rsidRDefault="00F46BFA" w:rsidP="00F46BFA">
      <w:pPr>
        <w:pStyle w:val="BodyText2"/>
        <w:ind w:left="360"/>
        <w:rPr>
          <w:rFonts w:cs="Arial"/>
          <w:sz w:val="22"/>
        </w:rPr>
      </w:pPr>
    </w:p>
    <w:p w:rsidR="00F46BFA" w:rsidRDefault="00F46BFA" w:rsidP="00F46BFA">
      <w:pPr>
        <w:pStyle w:val="BodyText2"/>
        <w:ind w:left="360"/>
        <w:rPr>
          <w:rFonts w:cs="Arial"/>
          <w:sz w:val="22"/>
        </w:rPr>
      </w:pPr>
      <w:r>
        <w:rPr>
          <w:rFonts w:cs="Arial"/>
          <w:sz w:val="22"/>
        </w:rPr>
        <w:t>Pri izvajanju investicijskih projektov na glavnih in regionalnih cestah investitor zahteva, da se na vseh komisijskih pregledih in prevzemih del predloži izpolnjena tabela izvedenih kazalnikov za gradbišče, ki je predmet pregleda in prevzema.</w:t>
      </w:r>
    </w:p>
    <w:p w:rsidR="00F46BFA" w:rsidRDefault="00F46BFA" w:rsidP="00F46BFA">
      <w:pPr>
        <w:pStyle w:val="BodyText2"/>
        <w:ind w:left="360"/>
        <w:rPr>
          <w:rFonts w:cs="Arial"/>
          <w:sz w:val="22"/>
        </w:rPr>
      </w:pPr>
      <w:r>
        <w:rPr>
          <w:rFonts w:cs="Arial"/>
          <w:sz w:val="22"/>
        </w:rPr>
        <w:t xml:space="preserve">Tabela izvedenih kazalnikov z navodili je dostopna na spletni strani Direkcije RS za infrastrukturo: </w:t>
      </w:r>
      <w:hyperlink r:id="rId7" w:history="1">
        <w:r w:rsidRPr="00BC08F5">
          <w:rPr>
            <w:rStyle w:val="Hyperlink"/>
            <w:rFonts w:cs="Arial"/>
            <w:sz w:val="22"/>
          </w:rPr>
          <w:t>https://www.gov.si/zbirke/storitve/projektna-dokumentacija-in-projektiranje</w:t>
        </w:r>
      </w:hyperlink>
      <w:r>
        <w:rPr>
          <w:rFonts w:cs="Arial"/>
          <w:sz w:val="22"/>
        </w:rPr>
        <w:t>, katera se izpolni na osnovi projekta za izvedbo oziroma izvedbenega načrta izvedenih del.</w:t>
      </w:r>
    </w:p>
    <w:p w:rsidR="00F46BFA" w:rsidRDefault="00F46BFA" w:rsidP="00F46BFA">
      <w:pPr>
        <w:pStyle w:val="BodyText2"/>
        <w:ind w:left="360"/>
        <w:rPr>
          <w:rFonts w:cs="Arial"/>
          <w:sz w:val="22"/>
        </w:rPr>
      </w:pPr>
    </w:p>
    <w:p w:rsidR="00F46BFA" w:rsidRPr="008A62EF" w:rsidRDefault="00F46BFA" w:rsidP="00F46BFA">
      <w:pPr>
        <w:pStyle w:val="BodyText2"/>
        <w:ind w:left="360"/>
        <w:rPr>
          <w:rFonts w:cs="Arial"/>
          <w:sz w:val="22"/>
        </w:rPr>
      </w:pPr>
    </w:p>
    <w:p w:rsidR="00E813F4" w:rsidRPr="00A9293C" w:rsidRDefault="00E813F4" w:rsidP="00F46BFA">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A6" w:rsidRDefault="00CC10A6">
      <w:r>
        <w:separator/>
      </w:r>
    </w:p>
  </w:endnote>
  <w:endnote w:type="continuationSeparator" w:id="0">
    <w:p w:rsidR="00CC10A6" w:rsidRDefault="00CC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A6" w:rsidRDefault="00CC1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C10A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CC10A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CC10A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CC10A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A6" w:rsidRDefault="00CC10A6">
      <w:r>
        <w:separator/>
      </w:r>
    </w:p>
  </w:footnote>
  <w:footnote w:type="continuationSeparator" w:id="0">
    <w:p w:rsidR="00CC10A6" w:rsidRDefault="00CC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A6" w:rsidRDefault="00CC1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A6" w:rsidRDefault="00CC1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CC10A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A6"/>
    <w:rsid w:val="000646A9"/>
    <w:rsid w:val="001836BB"/>
    <w:rsid w:val="00216549"/>
    <w:rsid w:val="002507C2"/>
    <w:rsid w:val="00290551"/>
    <w:rsid w:val="003133A6"/>
    <w:rsid w:val="003560E2"/>
    <w:rsid w:val="003579C0"/>
    <w:rsid w:val="00424A5A"/>
    <w:rsid w:val="0044323F"/>
    <w:rsid w:val="004B34B5"/>
    <w:rsid w:val="00556816"/>
    <w:rsid w:val="00634B0D"/>
    <w:rsid w:val="00637BE6"/>
    <w:rsid w:val="006C45CF"/>
    <w:rsid w:val="009B1FD9"/>
    <w:rsid w:val="00A05C73"/>
    <w:rsid w:val="00A17575"/>
    <w:rsid w:val="00AD3747"/>
    <w:rsid w:val="00CC10A6"/>
    <w:rsid w:val="00DB7CDA"/>
    <w:rsid w:val="00E51016"/>
    <w:rsid w:val="00E66D5B"/>
    <w:rsid w:val="00E813F4"/>
    <w:rsid w:val="00EA1375"/>
    <w:rsid w:val="00F46BFA"/>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0C1901"/>
  <w15:chartTrackingRefBased/>
  <w15:docId w15:val="{4C952F8E-125F-4D09-B6BA-B6B0093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6C45CF"/>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6C45CF"/>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0339">
      <w:bodyDiv w:val="1"/>
      <w:marLeft w:val="0"/>
      <w:marRight w:val="0"/>
      <w:marTop w:val="0"/>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sChild>
            <w:div w:id="2112819676">
              <w:marLeft w:val="-225"/>
              <w:marRight w:val="-225"/>
              <w:marTop w:val="0"/>
              <w:marBottom w:val="0"/>
              <w:divBdr>
                <w:top w:val="none" w:sz="0" w:space="0" w:color="auto"/>
                <w:left w:val="none" w:sz="0" w:space="0" w:color="auto"/>
                <w:bottom w:val="none" w:sz="0" w:space="0" w:color="auto"/>
                <w:right w:val="none" w:sz="0" w:space="0" w:color="auto"/>
              </w:divBdr>
              <w:divsChild>
                <w:div w:id="1434857669">
                  <w:marLeft w:val="0"/>
                  <w:marRight w:val="0"/>
                  <w:marTop w:val="0"/>
                  <w:marBottom w:val="0"/>
                  <w:divBdr>
                    <w:top w:val="none" w:sz="0" w:space="0" w:color="auto"/>
                    <w:left w:val="none" w:sz="0" w:space="0" w:color="auto"/>
                    <w:bottom w:val="none" w:sz="0" w:space="0" w:color="auto"/>
                    <w:right w:val="none" w:sz="0" w:space="0" w:color="auto"/>
                  </w:divBdr>
                  <w:divsChild>
                    <w:div w:id="1222327439">
                      <w:marLeft w:val="0"/>
                      <w:marRight w:val="0"/>
                      <w:marTop w:val="0"/>
                      <w:marBottom w:val="255"/>
                      <w:divBdr>
                        <w:top w:val="none" w:sz="0" w:space="0" w:color="auto"/>
                        <w:left w:val="none" w:sz="0" w:space="0" w:color="auto"/>
                        <w:bottom w:val="none" w:sz="0" w:space="0" w:color="auto"/>
                        <w:right w:val="none" w:sz="0" w:space="0" w:color="auto"/>
                      </w:divBdr>
                      <w:divsChild>
                        <w:div w:id="228663023">
                          <w:marLeft w:val="0"/>
                          <w:marRight w:val="0"/>
                          <w:marTop w:val="0"/>
                          <w:marBottom w:val="0"/>
                          <w:divBdr>
                            <w:top w:val="none" w:sz="0" w:space="0" w:color="auto"/>
                            <w:left w:val="none" w:sz="0" w:space="0" w:color="auto"/>
                            <w:bottom w:val="none" w:sz="0" w:space="0" w:color="auto"/>
                            <w:right w:val="none" w:sz="0" w:space="0" w:color="auto"/>
                          </w:divBdr>
                          <w:divsChild>
                            <w:div w:id="1280137479">
                              <w:marLeft w:val="-195"/>
                              <w:marRight w:val="0"/>
                              <w:marTop w:val="0"/>
                              <w:marBottom w:val="0"/>
                              <w:divBdr>
                                <w:top w:val="none" w:sz="0" w:space="0" w:color="auto"/>
                                <w:left w:val="none" w:sz="0" w:space="0" w:color="auto"/>
                                <w:bottom w:val="none" w:sz="0" w:space="0" w:color="auto"/>
                                <w:right w:val="none" w:sz="0" w:space="0" w:color="auto"/>
                              </w:divBdr>
                              <w:divsChild>
                                <w:div w:id="3518843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i/zbirke/storitve/projektna-dokumentacija-in-projektiranj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150</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2020-11-24T09:32:00Z</dcterms:created>
  <dcterms:modified xsi:type="dcterms:W3CDTF">2020-11-24T12:34:00Z</dcterms:modified>
</cp:coreProperties>
</file>